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639C7A" w14:textId="77EBA035" w:rsidR="00067548" w:rsidRPr="000404EF" w:rsidRDefault="00067548" w:rsidP="00067548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WG2</w:t>
      </w:r>
      <w:r w:rsidR="00502773">
        <w:rPr>
          <w:lang w:val="en-US"/>
        </w:rPr>
        <w:t xml:space="preserve"> #97</w:t>
      </w:r>
      <w:r w:rsidRPr="000404EF">
        <w:rPr>
          <w:lang w:val="en-US"/>
        </w:rPr>
        <w:tab/>
      </w:r>
      <w:proofErr w:type="spellStart"/>
      <w:r w:rsidRPr="000404EF">
        <w:rPr>
          <w:lang w:val="en-US"/>
        </w:rPr>
        <w:t>Tdoc</w:t>
      </w:r>
      <w:proofErr w:type="spellEnd"/>
      <w:r w:rsidRPr="000404EF">
        <w:rPr>
          <w:lang w:val="en-US"/>
        </w:rPr>
        <w:t xml:space="preserve"> </w:t>
      </w:r>
      <w:r w:rsidR="00D942D6" w:rsidRPr="00D942D6">
        <w:rPr>
          <w:bCs/>
        </w:rPr>
        <w:t>R2-1700918</w:t>
      </w:r>
    </w:p>
    <w:p w14:paraId="1C76A8D9" w14:textId="77777777" w:rsidR="00067548" w:rsidRDefault="007146AF" w:rsidP="00067548">
      <w:pPr>
        <w:pStyle w:val="3GPPHeader"/>
        <w:spacing w:after="60"/>
        <w:rPr>
          <w:b w:val="0"/>
          <w:noProof/>
        </w:rPr>
      </w:pPr>
      <w:r>
        <w:rPr>
          <w:lang w:val="en-US"/>
        </w:rPr>
        <w:t>Athens</w:t>
      </w:r>
      <w:r w:rsidR="00067548" w:rsidRPr="00910EE8">
        <w:rPr>
          <w:lang w:val="en-US"/>
        </w:rPr>
        <w:t xml:space="preserve">, </w:t>
      </w:r>
      <w:r>
        <w:rPr>
          <w:lang w:val="en-US"/>
        </w:rPr>
        <w:t>Greece</w:t>
      </w:r>
      <w:r w:rsidR="00067548" w:rsidRPr="00910EE8">
        <w:rPr>
          <w:lang w:val="en-US"/>
        </w:rPr>
        <w:t>, 1</w:t>
      </w:r>
      <w:r>
        <w:rPr>
          <w:lang w:val="en-US"/>
        </w:rPr>
        <w:t>3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 w:rsidR="00067548" w:rsidRPr="00910EE8">
        <w:rPr>
          <w:lang w:val="en-US"/>
        </w:rPr>
        <w:t>– 1</w:t>
      </w:r>
      <w:r>
        <w:rPr>
          <w:lang w:val="en-US"/>
        </w:rPr>
        <w:t>7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February</w:t>
      </w:r>
      <w:r w:rsidR="00067548" w:rsidRPr="00910EE8">
        <w:rPr>
          <w:lang w:val="en-US"/>
        </w:rPr>
        <w:t xml:space="preserve"> 2017</w:t>
      </w:r>
    </w:p>
    <w:p w14:paraId="0F384CF9" w14:textId="77777777" w:rsidR="00E90E49" w:rsidRPr="00CE0424" w:rsidRDefault="00E90E49" w:rsidP="00357380">
      <w:pPr>
        <w:pStyle w:val="3GPPHeader"/>
      </w:pPr>
    </w:p>
    <w:p w14:paraId="78834C46" w14:textId="77777777" w:rsidR="00D942D6" w:rsidRPr="00E04B47" w:rsidRDefault="00D942D6" w:rsidP="00D942D6">
      <w:pPr>
        <w:pStyle w:val="3GPPHeader"/>
        <w:rPr>
          <w:sz w:val="22"/>
          <w:szCs w:val="22"/>
        </w:rPr>
      </w:pPr>
      <w:r w:rsidRPr="00E04B47">
        <w:rPr>
          <w:sz w:val="22"/>
          <w:szCs w:val="22"/>
        </w:rPr>
        <w:t>Agenda Item:</w:t>
      </w:r>
      <w:r w:rsidRPr="00E04B47">
        <w:rPr>
          <w:sz w:val="22"/>
          <w:szCs w:val="22"/>
        </w:rPr>
        <w:tab/>
      </w:r>
      <w:r>
        <w:rPr>
          <w:sz w:val="22"/>
          <w:szCs w:val="22"/>
        </w:rPr>
        <w:t>10.2.2.5</w:t>
      </w:r>
    </w:p>
    <w:p w14:paraId="22E6456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702278F" w14:textId="2DA8109E" w:rsidR="00E90E49" w:rsidRPr="00D942D6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3284C" w:rsidRPr="00D942D6">
        <w:rPr>
          <w:sz w:val="22"/>
          <w:szCs w:val="22"/>
        </w:rPr>
        <w:t xml:space="preserve">RLM and RLF in </w:t>
      </w:r>
      <w:r w:rsidR="00671DDD" w:rsidRPr="00D942D6">
        <w:rPr>
          <w:sz w:val="22"/>
          <w:szCs w:val="22"/>
        </w:rPr>
        <w:t xml:space="preserve">case of </w:t>
      </w:r>
      <w:r w:rsidR="0071746C" w:rsidRPr="00D942D6">
        <w:rPr>
          <w:sz w:val="22"/>
          <w:szCs w:val="22"/>
        </w:rPr>
        <w:t>LTE-</w:t>
      </w:r>
      <w:r w:rsidR="000C4419" w:rsidRPr="00D942D6">
        <w:rPr>
          <w:sz w:val="22"/>
          <w:szCs w:val="22"/>
        </w:rPr>
        <w:t>N</w:t>
      </w:r>
      <w:r w:rsidR="0071746C" w:rsidRPr="00D942D6">
        <w:rPr>
          <w:sz w:val="22"/>
          <w:szCs w:val="22"/>
        </w:rPr>
        <w:t>R tight interworking</w:t>
      </w:r>
    </w:p>
    <w:p w14:paraId="28B4854C" w14:textId="77777777" w:rsidR="00E90E49" w:rsidRPr="00CE0424" w:rsidRDefault="00E90E49" w:rsidP="007146AF">
      <w:pPr>
        <w:pStyle w:val="3GPPHeader"/>
      </w:pPr>
      <w:r w:rsidRPr="00D942D6">
        <w:rPr>
          <w:sz w:val="22"/>
          <w:szCs w:val="22"/>
        </w:rPr>
        <w:t>Document for:</w:t>
      </w:r>
      <w:r w:rsidRPr="00D942D6">
        <w:rPr>
          <w:sz w:val="22"/>
          <w:szCs w:val="22"/>
        </w:rPr>
        <w:tab/>
        <w:t>Discussion, Decision</w:t>
      </w:r>
    </w:p>
    <w:p w14:paraId="306A8143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7C658519" w14:textId="77777777" w:rsidR="00D666B8" w:rsidRPr="00E04B47" w:rsidRDefault="00D666B8" w:rsidP="00D666B8">
      <w:pPr>
        <w:pStyle w:val="Doc-text2"/>
        <w:ind w:left="0" w:firstLine="0"/>
      </w:pPr>
      <w:r w:rsidRPr="00E04B47">
        <w:t>In 3GPP TSG-RAN WG2 NR Ad Hoc, the following agreements have been made:</w:t>
      </w:r>
    </w:p>
    <w:p w14:paraId="5DAFFB4E" w14:textId="77777777" w:rsidR="00D666B8" w:rsidRPr="00E04B47" w:rsidRDefault="00D666B8" w:rsidP="00D666B8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</w:p>
    <w:p w14:paraId="4348B67A" w14:textId="77777777" w:rsidR="00D666B8" w:rsidRPr="00E04B47" w:rsidRDefault="00D666B8" w:rsidP="00D6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284"/>
        <w:jc w:val="left"/>
        <w:textAlignment w:val="auto"/>
        <w:rPr>
          <w:rFonts w:eastAsia="MS Mincho"/>
          <w:szCs w:val="24"/>
          <w:lang w:eastAsia="en-GB"/>
        </w:rPr>
      </w:pPr>
      <w:r w:rsidRPr="00E04B47">
        <w:rPr>
          <w:rFonts w:eastAsia="MS Mincho"/>
          <w:szCs w:val="24"/>
          <w:lang w:eastAsia="en-GB"/>
        </w:rPr>
        <w:t>Agreements:</w:t>
      </w:r>
    </w:p>
    <w:p w14:paraId="578D49AD" w14:textId="77777777" w:rsidR="00D666B8" w:rsidRPr="00E04B47" w:rsidRDefault="00D666B8" w:rsidP="00D6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284"/>
        <w:jc w:val="left"/>
        <w:textAlignment w:val="auto"/>
        <w:rPr>
          <w:rFonts w:eastAsia="MS Mincho"/>
          <w:szCs w:val="24"/>
          <w:lang w:eastAsia="en-GB"/>
        </w:rPr>
      </w:pPr>
      <w:r w:rsidRPr="00E04B47">
        <w:rPr>
          <w:rFonts w:eastAsia="MS Mincho"/>
          <w:szCs w:val="24"/>
          <w:lang w:eastAsia="en-GB"/>
        </w:rPr>
        <w:t xml:space="preserve">1:  Packet duplication is supported for user plane and control plane in NR-PDCP (This agreement does not </w:t>
      </w:r>
      <w:proofErr w:type="gramStart"/>
      <w:r w:rsidRPr="00E04B47">
        <w:rPr>
          <w:rFonts w:eastAsia="MS Mincho"/>
          <w:szCs w:val="24"/>
          <w:lang w:eastAsia="en-GB"/>
        </w:rPr>
        <w:t>preclude</w:t>
      </w:r>
      <w:proofErr w:type="gramEnd"/>
      <w:r w:rsidRPr="00E04B47">
        <w:rPr>
          <w:rFonts w:eastAsia="MS Mincho"/>
          <w:szCs w:val="24"/>
          <w:lang w:eastAsia="en-GB"/>
        </w:rPr>
        <w:t xml:space="preserve"> discussion of other mechanisms to improve mobility robustness)</w:t>
      </w:r>
    </w:p>
    <w:p w14:paraId="62504624" w14:textId="77777777" w:rsidR="00D666B8" w:rsidRPr="00E04B47" w:rsidRDefault="00D666B8" w:rsidP="00D6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284"/>
        <w:jc w:val="left"/>
        <w:textAlignment w:val="auto"/>
        <w:rPr>
          <w:rFonts w:eastAsia="MS Mincho"/>
          <w:szCs w:val="24"/>
          <w:lang w:eastAsia="en-GB"/>
        </w:rPr>
      </w:pPr>
      <w:r w:rsidRPr="00E04B47">
        <w:rPr>
          <w:rFonts w:eastAsia="MS Mincho"/>
          <w:szCs w:val="24"/>
          <w:lang w:eastAsia="en-GB"/>
        </w:rPr>
        <w:t>FFS whether packet duplication should also be supported for LTE-NR dual connectivity</w:t>
      </w:r>
    </w:p>
    <w:p w14:paraId="3C9FBA2E" w14:textId="77777777" w:rsidR="00D666B8" w:rsidRPr="00E04B47" w:rsidRDefault="00D666B8" w:rsidP="00D6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284"/>
        <w:jc w:val="left"/>
        <w:textAlignment w:val="auto"/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>2:</w:t>
      </w:r>
      <w:r w:rsidRPr="00E04B47">
        <w:rPr>
          <w:rFonts w:eastAsia="MS Mincho"/>
          <w:szCs w:val="24"/>
          <w:lang w:eastAsia="en-GB"/>
        </w:rPr>
        <w:t xml:space="preserve"> The PDCP function in the transmitter supports packet duplication and the PDCP function in the receiver supports duplicate packet removal.</w:t>
      </w:r>
    </w:p>
    <w:p w14:paraId="56B64E27" w14:textId="77777777" w:rsidR="00D666B8" w:rsidRPr="00E04B47" w:rsidRDefault="00D666B8" w:rsidP="00D666B8">
      <w:pPr>
        <w:overflowPunct/>
        <w:autoSpaceDE/>
        <w:autoSpaceDN/>
        <w:adjustRightInd/>
        <w:spacing w:before="40" w:after="0"/>
        <w:jc w:val="left"/>
        <w:textAlignment w:val="auto"/>
        <w:rPr>
          <w:rFonts w:eastAsia="MS Mincho"/>
          <w:i/>
          <w:noProof/>
          <w:sz w:val="18"/>
          <w:szCs w:val="24"/>
          <w:lang w:eastAsia="en-GB"/>
        </w:rPr>
      </w:pPr>
    </w:p>
    <w:p w14:paraId="4FDEC6A0" w14:textId="73713C6E" w:rsidR="00D666B8" w:rsidRDefault="00D666B8" w:rsidP="00D666B8">
      <w:r>
        <w:t>Furthermore, it was also agreed that:</w:t>
      </w:r>
    </w:p>
    <w:p w14:paraId="3076BAB2" w14:textId="77777777" w:rsidR="00D666B8" w:rsidRDefault="00D666B8" w:rsidP="00D666B8">
      <w:pPr>
        <w:pStyle w:val="Doc-text2"/>
      </w:pPr>
      <w:r>
        <w:t>=&gt;</w:t>
      </w:r>
      <w:r>
        <w:tab/>
        <w:t xml:space="preserve">For LTE-NR tight interworking with NR as master then </w:t>
      </w:r>
      <w:r w:rsidRPr="008A541D">
        <w:t xml:space="preserve">packet duplication </w:t>
      </w:r>
      <w:r>
        <w:t>with MSG split bearer on control plane is supported following agreements taken for packet duplication for NR-NR dual connectivity.</w:t>
      </w:r>
    </w:p>
    <w:p w14:paraId="00EDBA37" w14:textId="2B7E3927" w:rsidR="00D3005B" w:rsidRPr="00CE0424" w:rsidRDefault="000B480F" w:rsidP="00D54EA6">
      <w:r>
        <w:t>In this contribution, we elaborate on the benefits of using SRB diversity to enable a more robust RLM and RLF handling in case of LTE-NR dual connectivity.</w:t>
      </w:r>
    </w:p>
    <w:p w14:paraId="3B0D7F69" w14:textId="28D38C8F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56C418B3" w14:textId="1F293D70" w:rsidR="000B480F" w:rsidRDefault="00297D2E" w:rsidP="000B480F">
      <w:r>
        <w:t>I</w:t>
      </w:r>
      <w:r w:rsidR="00556C8B">
        <w:t xml:space="preserve">n LTE, RLF is declared if the </w:t>
      </w:r>
      <w:r w:rsidR="000B020D">
        <w:t xml:space="preserve">UE detects too many out-of-synch packets via the </w:t>
      </w:r>
      <w:r w:rsidR="00556C8B">
        <w:t xml:space="preserve">MCG </w:t>
      </w:r>
      <w:r>
        <w:t xml:space="preserve">bearer </w:t>
      </w:r>
      <w:r w:rsidR="00A66A92">
        <w:t>which triggers a RRC Connection Reestablishment</w:t>
      </w:r>
      <w:r w:rsidR="00EA304E">
        <w:t xml:space="preserve"> </w:t>
      </w:r>
      <w:r w:rsidR="00EA304E">
        <w:fldChar w:fldCharType="begin"/>
      </w:r>
      <w:r w:rsidR="00EA304E">
        <w:instrText xml:space="preserve"> REF _Ref473905534 \r \h </w:instrText>
      </w:r>
      <w:r w:rsidR="00EA304E">
        <w:fldChar w:fldCharType="separate"/>
      </w:r>
      <w:r w:rsidR="00EA304E">
        <w:t>[1]</w:t>
      </w:r>
      <w:r w:rsidR="00EA304E">
        <w:fldChar w:fldCharType="end"/>
      </w:r>
      <w:r w:rsidR="00A66A92">
        <w:t>.</w:t>
      </w:r>
      <w:r w:rsidR="00836A89">
        <w:t xml:space="preserve"> This will stop all ongoing transmissions while the UE attempt to re-synchronize with the network.</w:t>
      </w:r>
      <w:r w:rsidR="00A66A92">
        <w:t xml:space="preserve"> </w:t>
      </w:r>
      <w:r>
        <w:t xml:space="preserve">In case the UE is configured with dual connectivity, the connection reestablishment will reset the SCG connection as well resulting in </w:t>
      </w:r>
      <w:r w:rsidR="00836A89">
        <w:t>a</w:t>
      </w:r>
      <w:r w:rsidR="00A66A92">
        <w:t xml:space="preserve"> service interruption</w:t>
      </w:r>
      <w:r w:rsidR="00836A89">
        <w:t xml:space="preserve"> even if the secondary carriers have excellent coverage</w:t>
      </w:r>
      <w:r w:rsidR="00A66A92">
        <w:t>. On the other hand</w:t>
      </w:r>
      <w:r w:rsidR="00177E8F">
        <w:t>, if the UE experiences</w:t>
      </w:r>
      <w:r w:rsidR="002A399E">
        <w:t xml:space="preserve"> RL</w:t>
      </w:r>
      <w:r w:rsidR="00177E8F">
        <w:t>F</w:t>
      </w:r>
      <w:r w:rsidR="002A399E">
        <w:t xml:space="preserve"> on the </w:t>
      </w:r>
      <w:r w:rsidR="00177E8F">
        <w:t xml:space="preserve">SCG, the UE will not initiate a RRC connection reestablishment but instead generate a </w:t>
      </w:r>
      <w:proofErr w:type="spellStart"/>
      <w:r w:rsidR="00177E8F" w:rsidRPr="003313F4">
        <w:rPr>
          <w:i/>
        </w:rPr>
        <w:t>SCG</w:t>
      </w:r>
      <w:r w:rsidR="003313F4" w:rsidRPr="003313F4">
        <w:rPr>
          <w:i/>
        </w:rPr>
        <w:t>FailureInformation</w:t>
      </w:r>
      <w:proofErr w:type="spellEnd"/>
      <w:r w:rsidR="00177E8F">
        <w:t xml:space="preserve"> </w:t>
      </w:r>
      <w:r w:rsidR="003313F4">
        <w:t xml:space="preserve">message which it transmits to the </w:t>
      </w:r>
      <w:proofErr w:type="spellStart"/>
      <w:r w:rsidR="003313F4">
        <w:t>MeNB</w:t>
      </w:r>
      <w:proofErr w:type="spellEnd"/>
      <w:r w:rsidR="003313F4">
        <w:t xml:space="preserve"> via the MCG bearer.</w:t>
      </w:r>
      <w:r w:rsidR="0005386D">
        <w:t xml:space="preserve"> The </w:t>
      </w:r>
      <w:proofErr w:type="spellStart"/>
      <w:r w:rsidR="0005386D">
        <w:t>MeNB</w:t>
      </w:r>
      <w:proofErr w:type="spellEnd"/>
      <w:r w:rsidR="0005386D">
        <w:t xml:space="preserve"> can then decide to initiate a </w:t>
      </w:r>
      <w:r w:rsidR="003030B2">
        <w:t>‘</w:t>
      </w:r>
      <w:proofErr w:type="spellStart"/>
      <w:r w:rsidR="0005386D">
        <w:rPr>
          <w:i/>
        </w:rPr>
        <w:t>SeNB</w:t>
      </w:r>
      <w:proofErr w:type="spellEnd"/>
      <w:r w:rsidR="0005386D">
        <w:rPr>
          <w:i/>
        </w:rPr>
        <w:t xml:space="preserve"> release</w:t>
      </w:r>
      <w:r w:rsidR="003030B2">
        <w:rPr>
          <w:i/>
        </w:rPr>
        <w:t>’</w:t>
      </w:r>
      <w:r w:rsidR="0005386D">
        <w:t xml:space="preserve"> or a </w:t>
      </w:r>
      <w:r w:rsidR="003030B2">
        <w:t>‘</w:t>
      </w:r>
      <w:r w:rsidR="0005386D" w:rsidRPr="0005386D">
        <w:rPr>
          <w:i/>
        </w:rPr>
        <w:t xml:space="preserve">change of </w:t>
      </w:r>
      <w:proofErr w:type="spellStart"/>
      <w:r w:rsidR="0005386D" w:rsidRPr="0005386D">
        <w:rPr>
          <w:i/>
        </w:rPr>
        <w:t>SeNB</w:t>
      </w:r>
      <w:proofErr w:type="spellEnd"/>
      <w:r w:rsidR="003030B2">
        <w:t xml:space="preserve">’ which will remove the failing </w:t>
      </w:r>
      <w:proofErr w:type="spellStart"/>
      <w:r w:rsidR="003030B2">
        <w:t>SeNB</w:t>
      </w:r>
      <w:proofErr w:type="spellEnd"/>
      <w:r w:rsidR="003030B2">
        <w:t xml:space="preserve"> and potentially add another </w:t>
      </w:r>
      <w:r w:rsidR="00836A89">
        <w:t xml:space="preserve">one </w:t>
      </w:r>
      <w:r w:rsidR="003030B2">
        <w:t>with better signal quality.</w:t>
      </w:r>
      <w:r w:rsidR="00836A89">
        <w:t xml:space="preserve"> As the MCG bearer is unaffected, the UE doesn’t experience any service interruption as the traffic can be rerouted on the MCG bearers instead.</w:t>
      </w:r>
    </w:p>
    <w:p w14:paraId="6A01901C" w14:textId="114442F1" w:rsidR="000B480F" w:rsidRDefault="00836A89" w:rsidP="000B480F">
      <w:r>
        <w:t xml:space="preserve">In NR, it is </w:t>
      </w:r>
      <w:r w:rsidR="008127E7">
        <w:t xml:space="preserve">agreed </w:t>
      </w:r>
      <w:r>
        <w:t xml:space="preserve">to support </w:t>
      </w:r>
      <w:r w:rsidR="004C159C">
        <w:t>RRC</w:t>
      </w:r>
      <w:r>
        <w:t xml:space="preserve"> diversity</w:t>
      </w:r>
      <w:r w:rsidR="008127E7">
        <w:t xml:space="preserve"> for LTE</w:t>
      </w:r>
      <w:r w:rsidR="00A8011C">
        <w:t>-</w:t>
      </w:r>
      <w:r w:rsidR="008127E7">
        <w:t>NR tight interworking</w:t>
      </w:r>
      <w:r w:rsidR="00111A6E">
        <w:t xml:space="preserve"> where NR is master</w:t>
      </w:r>
      <w:r w:rsidR="008127E7">
        <w:t>,</w:t>
      </w:r>
      <w:r w:rsidR="00A53054">
        <w:t xml:space="preserve"> which will allow the </w:t>
      </w:r>
      <w:r w:rsidR="007B5802">
        <w:t xml:space="preserve">UE </w:t>
      </w:r>
      <w:r w:rsidR="00A53054">
        <w:t xml:space="preserve">to receive </w:t>
      </w:r>
      <w:r w:rsidR="007B5802">
        <w:t xml:space="preserve">and transmit </w:t>
      </w:r>
      <w:r w:rsidR="00A53054">
        <w:t xml:space="preserve">RRC message via the </w:t>
      </w:r>
      <w:proofErr w:type="spellStart"/>
      <w:r w:rsidR="00A53054">
        <w:t>SeNB</w:t>
      </w:r>
      <w:proofErr w:type="spellEnd"/>
      <w:r>
        <w:t xml:space="preserve"> </w:t>
      </w:r>
      <w:r w:rsidR="00EE44E0">
        <w:fldChar w:fldCharType="begin"/>
      </w:r>
      <w:r w:rsidR="00EE44E0">
        <w:instrText xml:space="preserve"> REF _Ref473534449 \r \h </w:instrText>
      </w:r>
      <w:r w:rsidR="00EE44E0">
        <w:fldChar w:fldCharType="separate"/>
      </w:r>
      <w:r w:rsidR="008109F1">
        <w:t>[1]</w:t>
      </w:r>
      <w:r w:rsidR="00EE44E0">
        <w:fldChar w:fldCharType="end"/>
      </w:r>
      <w:r w:rsidR="00A53054">
        <w:t>. This will be particularly beneficial in case of dual connectivity where the MCG bearer fails due to RLF while the SCG bearer maintain</w:t>
      </w:r>
      <w:r w:rsidR="00D666B8">
        <w:t>s</w:t>
      </w:r>
      <w:r w:rsidR="00A53054">
        <w:t xml:space="preserve"> a good coverage. </w:t>
      </w:r>
      <w:r w:rsidR="00743BFE">
        <w:t xml:space="preserve">When </w:t>
      </w:r>
      <w:r w:rsidR="00A53054">
        <w:t xml:space="preserve">the UE detects RLF on the MCG, </w:t>
      </w:r>
      <w:r w:rsidR="00743BFE">
        <w:t>instead of trigger</w:t>
      </w:r>
      <w:r w:rsidR="00D666B8">
        <w:t>ing</w:t>
      </w:r>
      <w:r w:rsidR="00743BFE">
        <w:t xml:space="preserve"> </w:t>
      </w:r>
      <w:proofErr w:type="spellStart"/>
      <w:r w:rsidR="00743BFE">
        <w:t>RRCConnectionReestablishment</w:t>
      </w:r>
      <w:proofErr w:type="spellEnd"/>
      <w:r w:rsidR="00743BFE">
        <w:t xml:space="preserve">, </w:t>
      </w:r>
      <w:r w:rsidR="00A53054">
        <w:t xml:space="preserve">the UE </w:t>
      </w:r>
      <w:r w:rsidR="006D5593">
        <w:t>would</w:t>
      </w:r>
      <w:r w:rsidR="00A53054">
        <w:t xml:space="preserve"> generate a </w:t>
      </w:r>
      <w:proofErr w:type="spellStart"/>
      <w:r w:rsidR="00A53054" w:rsidRPr="00A53054">
        <w:rPr>
          <w:i/>
        </w:rPr>
        <w:t>MCGFailureInformation</w:t>
      </w:r>
      <w:proofErr w:type="spellEnd"/>
      <w:r w:rsidR="00A53054">
        <w:t xml:space="preserve"> which it transmits to the </w:t>
      </w:r>
      <w:proofErr w:type="spellStart"/>
      <w:r w:rsidR="00A53054">
        <w:t>MeNB</w:t>
      </w:r>
      <w:proofErr w:type="spellEnd"/>
      <w:r w:rsidR="00A53054">
        <w:t xml:space="preserve"> </w:t>
      </w:r>
      <w:r w:rsidR="00430341">
        <w:t>over a split-</w:t>
      </w:r>
      <w:proofErr w:type="spellStart"/>
      <w:r w:rsidR="00430341">
        <w:t>SRB</w:t>
      </w:r>
      <w:r w:rsidR="00A53054">
        <w:t>via</w:t>
      </w:r>
      <w:proofErr w:type="spellEnd"/>
      <w:r w:rsidR="00A53054">
        <w:t xml:space="preserve"> the </w:t>
      </w:r>
      <w:proofErr w:type="spellStart"/>
      <w:r w:rsidR="00A53054">
        <w:t>SeNB</w:t>
      </w:r>
      <w:proofErr w:type="spellEnd"/>
      <w:r w:rsidR="00A53054">
        <w:t xml:space="preserve">. When the </w:t>
      </w:r>
      <w:proofErr w:type="spellStart"/>
      <w:r w:rsidR="00A53054">
        <w:t>MeNB</w:t>
      </w:r>
      <w:proofErr w:type="spellEnd"/>
      <w:r w:rsidR="00A53054">
        <w:t xml:space="preserve"> receives the </w:t>
      </w:r>
      <w:proofErr w:type="spellStart"/>
      <w:r w:rsidR="00A53054">
        <w:rPr>
          <w:i/>
        </w:rPr>
        <w:t>MCGFailureInformation</w:t>
      </w:r>
      <w:proofErr w:type="spellEnd"/>
      <w:r w:rsidR="00A53054">
        <w:t xml:space="preserve">, it </w:t>
      </w:r>
      <w:r w:rsidR="00C60806">
        <w:t xml:space="preserve">may decide to </w:t>
      </w:r>
      <w:r w:rsidR="00A53054">
        <w:t xml:space="preserve">respond with </w:t>
      </w:r>
      <w:proofErr w:type="gramStart"/>
      <w:r w:rsidR="00A53054">
        <w:t>a</w:t>
      </w:r>
      <w:proofErr w:type="gramEnd"/>
      <w:r w:rsidR="00A53054">
        <w:t xml:space="preserve"> </w:t>
      </w:r>
      <w:proofErr w:type="spellStart"/>
      <w:r w:rsidR="00A53054" w:rsidRPr="00A53054">
        <w:rPr>
          <w:i/>
        </w:rPr>
        <w:t>RRCConnectionReconfiguration</w:t>
      </w:r>
      <w:proofErr w:type="spellEnd"/>
      <w:r w:rsidR="00A53054">
        <w:t xml:space="preserve"> via the </w:t>
      </w:r>
      <w:proofErr w:type="spellStart"/>
      <w:r w:rsidR="00A53054">
        <w:t>SeNB</w:t>
      </w:r>
      <w:proofErr w:type="spellEnd"/>
      <w:r w:rsidR="00430341">
        <w:t xml:space="preserve"> over the split-</w:t>
      </w:r>
      <w:r w:rsidR="00A53054">
        <w:t xml:space="preserve">SRB which </w:t>
      </w:r>
      <w:r w:rsidR="00425F48">
        <w:t>results in</w:t>
      </w:r>
      <w:r w:rsidR="005E7E3D">
        <w:t xml:space="preserve"> a handover of the MCG to </w:t>
      </w:r>
      <w:r w:rsidR="00430341">
        <w:t xml:space="preserve">e.g. </w:t>
      </w:r>
      <w:r w:rsidR="005E7E3D">
        <w:t xml:space="preserve">the old </w:t>
      </w:r>
      <w:proofErr w:type="spellStart"/>
      <w:r w:rsidR="005E7E3D">
        <w:t>SeNB</w:t>
      </w:r>
      <w:proofErr w:type="spellEnd"/>
      <w:r w:rsidR="005E7E3D">
        <w:t xml:space="preserve"> or to a third </w:t>
      </w:r>
      <w:proofErr w:type="spellStart"/>
      <w:r w:rsidR="005E7E3D">
        <w:t>eNB</w:t>
      </w:r>
      <w:proofErr w:type="spellEnd"/>
      <w:r w:rsidR="005E7E3D">
        <w:t xml:space="preserve">. </w:t>
      </w:r>
    </w:p>
    <w:p w14:paraId="66F96989" w14:textId="1FA7B748" w:rsidR="000C4419" w:rsidRDefault="000C4419" w:rsidP="00D942D6">
      <w:pPr>
        <w:pStyle w:val="Proposal"/>
      </w:pPr>
      <w:bookmarkStart w:id="1" w:name="_Toc473127709"/>
      <w:bookmarkStart w:id="2" w:name="_Toc473209862"/>
      <w:bookmarkStart w:id="3" w:name="_Toc473535993"/>
      <w:bookmarkStart w:id="4" w:name="_Toc473536005"/>
      <w:bookmarkStart w:id="5" w:name="_Toc473536196"/>
      <w:bookmarkStart w:id="6" w:name="_Toc473536583"/>
      <w:bookmarkStart w:id="7" w:name="_Toc473536595"/>
      <w:bookmarkStart w:id="8" w:name="_Toc473536622"/>
      <w:bookmarkStart w:id="9" w:name="_Toc473536710"/>
      <w:bookmarkStart w:id="10" w:name="_Toc473617109"/>
      <w:bookmarkStart w:id="11" w:name="_Toc473816308"/>
      <w:r>
        <w:t>For NR dual connectivity or LTE-NR tight interworking, when RLF is declared at MCG but not SCG, instead of initiat</w:t>
      </w:r>
      <w:r w:rsidR="00D942D6">
        <w:t>ing</w:t>
      </w:r>
      <w:r>
        <w:t xml:space="preserve"> RRC connection re-establishment procedure, UE report</w:t>
      </w:r>
      <w:r w:rsidR="00D942D6">
        <w:t>s</w:t>
      </w:r>
      <w:r>
        <w:t xml:space="preserve"> such failure to NW </w:t>
      </w:r>
      <w:r w:rsidR="00605AD9">
        <w:t xml:space="preserve">over split SRB via </w:t>
      </w:r>
      <w:r>
        <w:t>SCG as long as SCG is still alive</w:t>
      </w:r>
      <w:r w:rsidRPr="00E83A60"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 xml:space="preserve"> </w:t>
      </w:r>
    </w:p>
    <w:p w14:paraId="3D90B057" w14:textId="0145C5CA" w:rsidR="00CA3B3D" w:rsidRPr="00903A0A" w:rsidRDefault="00903A0A" w:rsidP="00D54EA6">
      <w:r>
        <w:lastRenderedPageBreak/>
        <w:fldChar w:fldCharType="begin"/>
      </w:r>
      <w:r>
        <w:instrText xml:space="preserve"> REF _Ref473535364 \h </w:instrText>
      </w:r>
      <w:r>
        <w:fldChar w:fldCharType="separate"/>
      </w:r>
      <w:r w:rsidR="008109F1">
        <w:t xml:space="preserve">Figure </w:t>
      </w:r>
      <w:r w:rsidR="008109F1">
        <w:rPr>
          <w:noProof/>
        </w:rPr>
        <w:t>1</w:t>
      </w:r>
      <w:r>
        <w:fldChar w:fldCharType="end"/>
      </w:r>
      <w:r>
        <w:t xml:space="preserve"> shows a</w:t>
      </w:r>
      <w:r w:rsidR="00605AD9">
        <w:t>n example</w:t>
      </w:r>
      <w:r>
        <w:t xml:space="preserve"> signalling diagram for the case when a UE triggers a handover to the source </w:t>
      </w:r>
      <w:proofErr w:type="spellStart"/>
      <w:r>
        <w:t>SeNB</w:t>
      </w:r>
      <w:proofErr w:type="spellEnd"/>
      <w:r>
        <w:t xml:space="preserve"> upon RLF on the MCG</w:t>
      </w:r>
      <w:r w:rsidR="00125B4B">
        <w:t xml:space="preserve">. However, </w:t>
      </w:r>
      <w:r w:rsidR="00D942D6">
        <w:t>to</w:t>
      </w:r>
      <w:r w:rsidR="00125B4B">
        <w:t xml:space="preserve"> ensure security, it is needed to perform a random access to update the security keys</w:t>
      </w:r>
      <w:r w:rsidR="00C82EEF">
        <w:t>.</w:t>
      </w:r>
    </w:p>
    <w:p w14:paraId="21C4EC61" w14:textId="29DEFEB4" w:rsidR="00113CD6" w:rsidRDefault="00B55E70" w:rsidP="00B55E70">
      <w:pPr>
        <w:jc w:val="center"/>
      </w:pPr>
      <w:bookmarkStart w:id="12" w:name="_Toc473535994"/>
      <w:bookmarkEnd w:id="12"/>
      <w:r>
        <w:rPr>
          <w:noProof/>
          <w:lang w:val="fi-FI" w:eastAsia="fi-FI"/>
        </w:rPr>
        <w:drawing>
          <wp:inline distT="0" distB="0" distL="0" distR="0" wp14:anchorId="5C240F13" wp14:editId="1200B477">
            <wp:extent cx="5039801" cy="3964674"/>
            <wp:effectExtent l="0" t="0" r="8890" b="0"/>
            <wp:docPr id="3" name="Picture 3" descr="H:\IVDs\submitted\[2017] [P71078] [provisional] eNB role change at RLF\MeNB to eNB Change in source SeNB (with RLF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IVDs\submitted\[2017] [P71078] [provisional] eNB role change at RLF\MeNB to eNB Change in source SeNB (with RLF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30"/>
                    <a:stretch/>
                  </pic:blipFill>
                  <pic:spPr bwMode="auto">
                    <a:xfrm>
                      <a:off x="0" y="0"/>
                      <a:ext cx="5040000" cy="396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106409" w14:textId="3C9B6E85" w:rsidR="00903A0A" w:rsidRDefault="00903A0A" w:rsidP="00903A0A">
      <w:pPr>
        <w:pStyle w:val="Caption"/>
      </w:pPr>
      <w:bookmarkStart w:id="13" w:name="_Ref473535364"/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109F1">
        <w:rPr>
          <w:noProof/>
        </w:rPr>
        <w:t>1</w:t>
      </w:r>
      <w:r>
        <w:fldChar w:fldCharType="end"/>
      </w:r>
      <w:bookmarkEnd w:id="13"/>
      <w:r>
        <w:t>.</w:t>
      </w:r>
      <w:proofErr w:type="gramEnd"/>
      <w:r>
        <w:t xml:space="preserve"> Signalling diagram for </w:t>
      </w:r>
      <w:proofErr w:type="spellStart"/>
      <w:r>
        <w:t>MeNB</w:t>
      </w:r>
      <w:proofErr w:type="spellEnd"/>
      <w:r>
        <w:t xml:space="preserve"> handover to </w:t>
      </w:r>
      <w:proofErr w:type="spellStart"/>
      <w:r>
        <w:t>SeNB</w:t>
      </w:r>
      <w:proofErr w:type="spellEnd"/>
      <w:r>
        <w:t xml:space="preserve"> at MCG failure</w:t>
      </w:r>
    </w:p>
    <w:p w14:paraId="02219D3D" w14:textId="76D4A592" w:rsidR="00903A0A" w:rsidRDefault="001661E9" w:rsidP="001661E9">
      <w:r>
        <w:t xml:space="preserve">In case both the MCG and SCG encounter RLF simultaneously, or if the handover to the </w:t>
      </w:r>
      <w:proofErr w:type="spellStart"/>
      <w:r>
        <w:t>SeNB</w:t>
      </w:r>
      <w:proofErr w:type="spellEnd"/>
      <w:r>
        <w:t xml:space="preserve"> fails due to RLF, e.g. if a UE enters an indoor area with very poor coverage, the UE should </w:t>
      </w:r>
      <w:proofErr w:type="spellStart"/>
      <w:r>
        <w:t>fallback</w:t>
      </w:r>
      <w:proofErr w:type="spellEnd"/>
      <w:r>
        <w:t xml:space="preserve"> to the RRC connection re-establishment procedure.</w:t>
      </w:r>
    </w:p>
    <w:p w14:paraId="09528CFB" w14:textId="7C6ED504" w:rsidR="000C4419" w:rsidRPr="00D942D6" w:rsidRDefault="000C4419" w:rsidP="00D942D6">
      <w:pPr>
        <w:pStyle w:val="Proposal"/>
      </w:pPr>
      <w:bookmarkStart w:id="14" w:name="_Toc473127710"/>
      <w:bookmarkStart w:id="15" w:name="_Toc473209863"/>
      <w:bookmarkStart w:id="16" w:name="_Toc473535995"/>
      <w:bookmarkStart w:id="17" w:name="_Toc473536006"/>
      <w:bookmarkStart w:id="18" w:name="_Toc473536197"/>
      <w:bookmarkStart w:id="19" w:name="_Toc473536584"/>
      <w:bookmarkStart w:id="20" w:name="_Toc473536596"/>
      <w:bookmarkStart w:id="21" w:name="_Toc473536623"/>
      <w:bookmarkStart w:id="22" w:name="_Toc473536711"/>
      <w:bookmarkStart w:id="23" w:name="_Toc473617110"/>
      <w:bookmarkStart w:id="24" w:name="_Toc473816309"/>
      <w:r w:rsidRPr="00D942D6">
        <w:t>RRC connection re-establishment procedure is only initiated when both MCG and SCG encounter RLF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D942D6">
        <w:t>.</w:t>
      </w:r>
    </w:p>
    <w:p w14:paraId="27E1E38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A75A904" w14:textId="77777777" w:rsidR="00605AD9" w:rsidRDefault="008E065E" w:rsidP="00035FAA"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8109F1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31AD5339" w14:textId="7A1D8AC0" w:rsidR="00605AD9" w:rsidRPr="00D54EA6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fi-FI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605AD9">
        <w:t>Proposal 1</w:t>
      </w:r>
      <w:r w:rsidR="00605AD9" w:rsidRPr="00D54EA6">
        <w:rPr>
          <w:rFonts w:asciiTheme="minorHAnsi" w:eastAsiaTheme="minorEastAsia" w:hAnsiTheme="minorHAnsi" w:cstheme="minorBidi"/>
          <w:b w:val="0"/>
          <w:sz w:val="22"/>
          <w:lang w:val="en-GB" w:eastAsia="fi-FI"/>
        </w:rPr>
        <w:tab/>
      </w:r>
      <w:r w:rsidR="00605AD9">
        <w:t xml:space="preserve">For NR dual connectivity or LTE-NR tight interworking, when RLF is declared at MCG </w:t>
      </w:r>
      <w:r w:rsidR="00D942D6">
        <w:t>but not SCG, instead of initiating</w:t>
      </w:r>
      <w:r w:rsidR="00605AD9">
        <w:t xml:space="preserve"> RRC connection re-establishment procedure, UE report</w:t>
      </w:r>
      <w:r w:rsidR="00D942D6">
        <w:t>s</w:t>
      </w:r>
      <w:r w:rsidR="00605AD9">
        <w:t xml:space="preserve"> such failure to NW over split SRB via SCG as long as SCG is still alive.</w:t>
      </w:r>
    </w:p>
    <w:p w14:paraId="615E7644" w14:textId="3AE9FD47" w:rsidR="00605AD9" w:rsidRPr="00D54EA6" w:rsidRDefault="00605AD9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fi-FI"/>
        </w:rPr>
      </w:pPr>
      <w:r>
        <w:t>Proposal 2</w:t>
      </w:r>
      <w:r w:rsidRPr="00D54EA6">
        <w:rPr>
          <w:rFonts w:asciiTheme="minorHAnsi" w:eastAsiaTheme="minorEastAsia" w:hAnsiTheme="minorHAnsi" w:cstheme="minorBidi"/>
          <w:b w:val="0"/>
          <w:sz w:val="22"/>
          <w:lang w:val="en-GB" w:eastAsia="fi-FI"/>
        </w:rPr>
        <w:tab/>
      </w:r>
      <w:r>
        <w:t xml:space="preserve">RRC connection re-establishment procedure is only initiated </w:t>
      </w:r>
      <w:r w:rsidR="00D942D6">
        <w:t>when both MCG and SCG encounter</w:t>
      </w:r>
      <w:r>
        <w:t xml:space="preserve"> RLF</w:t>
      </w:r>
      <w:r w:rsidR="00D942D6">
        <w:t>.</w:t>
      </w:r>
    </w:p>
    <w:p w14:paraId="5C23D878" w14:textId="084DCE37" w:rsidR="00C01F33" w:rsidRPr="00CE0424" w:rsidRDefault="008E065E" w:rsidP="006E062C">
      <w:r>
        <w:rPr>
          <w:b/>
          <w:bCs/>
        </w:rPr>
        <w:fldChar w:fldCharType="end"/>
      </w:r>
    </w:p>
    <w:p w14:paraId="66346508" w14:textId="77777777" w:rsidR="00F507D1" w:rsidRPr="00CE0424" w:rsidRDefault="00F507D1" w:rsidP="00CE0424">
      <w:pPr>
        <w:pStyle w:val="Heading1"/>
      </w:pPr>
      <w:bookmarkStart w:id="25" w:name="_In-sequence_SDU_delivery"/>
      <w:bookmarkEnd w:id="25"/>
      <w:r w:rsidRPr="00CE0424">
        <w:t>References</w:t>
      </w:r>
    </w:p>
    <w:p w14:paraId="070ABCB3" w14:textId="3EB18945" w:rsidR="00EA304E" w:rsidRDefault="00EA304E" w:rsidP="00EA304E">
      <w:pPr>
        <w:pStyle w:val="Reference"/>
      </w:pPr>
      <w:bookmarkStart w:id="26" w:name="_Ref473905534"/>
      <w:bookmarkStart w:id="27" w:name="_Ref473534449"/>
      <w:bookmarkStart w:id="28" w:name="_Ref174151459"/>
      <w:bookmarkStart w:id="29" w:name="_Ref189809556"/>
      <w:r>
        <w:t xml:space="preserve">R2-1700868, RLM and RLF in NR, Ericsson, </w:t>
      </w:r>
      <w:r w:rsidRPr="00583BD9">
        <w:t xml:space="preserve">RAN2#97, February </w:t>
      </w:r>
      <w:r w:rsidRPr="00583BD9">
        <w:rPr>
          <w:lang w:val="en-US"/>
        </w:rPr>
        <w:t>13</w:t>
      </w:r>
      <w:r w:rsidRPr="00583BD9">
        <w:rPr>
          <w:vertAlign w:val="superscript"/>
          <w:lang w:val="en-US"/>
        </w:rPr>
        <w:t>th</w:t>
      </w:r>
      <w:r w:rsidRPr="00583BD9">
        <w:rPr>
          <w:lang w:val="en-US"/>
        </w:rPr>
        <w:t xml:space="preserve"> – 17</w:t>
      </w:r>
      <w:r w:rsidRPr="00583BD9">
        <w:rPr>
          <w:vertAlign w:val="superscript"/>
          <w:lang w:val="en-US"/>
        </w:rPr>
        <w:t>th</w:t>
      </w:r>
      <w:r w:rsidRPr="00583BD9">
        <w:rPr>
          <w:lang w:val="en-US"/>
        </w:rPr>
        <w:t xml:space="preserve"> </w:t>
      </w:r>
      <w:r w:rsidRPr="00583BD9">
        <w:t>2017.</w:t>
      </w:r>
      <w:bookmarkEnd w:id="26"/>
    </w:p>
    <w:p w14:paraId="4FDD4FC8" w14:textId="45E5684B" w:rsidR="00732030" w:rsidRPr="00D942D6" w:rsidRDefault="00732030" w:rsidP="00EA304E">
      <w:pPr>
        <w:pStyle w:val="Reference"/>
      </w:pPr>
      <w:r w:rsidRPr="00D942D6">
        <w:t>R2-</w:t>
      </w:r>
      <w:r w:rsidR="00D942D6" w:rsidRPr="00D942D6">
        <w:t>1700915</w:t>
      </w:r>
      <w:r w:rsidR="00D942D6">
        <w:t>,</w:t>
      </w:r>
      <w:r w:rsidR="00B34D97" w:rsidRPr="00D942D6">
        <w:t xml:space="preserve"> </w:t>
      </w:r>
      <w:r w:rsidRPr="00D942D6">
        <w:t>“</w:t>
      </w:r>
      <w:r w:rsidR="00D942D6">
        <w:t xml:space="preserve">Split </w:t>
      </w:r>
      <w:r w:rsidR="00B34D97" w:rsidRPr="00D942D6">
        <w:t xml:space="preserve">SRB for LTE-NR </w:t>
      </w:r>
      <w:proofErr w:type="gramStart"/>
      <w:r w:rsidR="00B34D97" w:rsidRPr="00D942D6">
        <w:t>interworking</w:t>
      </w:r>
      <w:r w:rsidRPr="00D942D6">
        <w:t>”</w:t>
      </w:r>
      <w:proofErr w:type="gramEnd"/>
      <w:r w:rsidRPr="00D942D6">
        <w:t>, Ericsson</w:t>
      </w:r>
      <w:bookmarkEnd w:id="27"/>
      <w:r w:rsidR="00EA304E">
        <w:t xml:space="preserve">, </w:t>
      </w:r>
      <w:r w:rsidR="00EA304E" w:rsidRPr="00583BD9">
        <w:t xml:space="preserve">RAN2#97, February </w:t>
      </w:r>
      <w:r w:rsidR="00EA304E" w:rsidRPr="00583BD9">
        <w:rPr>
          <w:lang w:val="en-US"/>
        </w:rPr>
        <w:t>13</w:t>
      </w:r>
      <w:r w:rsidR="00EA304E" w:rsidRPr="00583BD9">
        <w:rPr>
          <w:vertAlign w:val="superscript"/>
          <w:lang w:val="en-US"/>
        </w:rPr>
        <w:t>th</w:t>
      </w:r>
      <w:r w:rsidR="00EA304E" w:rsidRPr="00583BD9">
        <w:rPr>
          <w:lang w:val="en-US"/>
        </w:rPr>
        <w:t xml:space="preserve"> – 17</w:t>
      </w:r>
      <w:r w:rsidR="00EA304E" w:rsidRPr="00583BD9">
        <w:rPr>
          <w:vertAlign w:val="superscript"/>
          <w:lang w:val="en-US"/>
        </w:rPr>
        <w:t>th</w:t>
      </w:r>
      <w:r w:rsidR="00EA304E" w:rsidRPr="00583BD9">
        <w:rPr>
          <w:lang w:val="en-US"/>
        </w:rPr>
        <w:t xml:space="preserve"> </w:t>
      </w:r>
      <w:r w:rsidR="00EA304E" w:rsidRPr="00583BD9">
        <w:t>2017.</w:t>
      </w:r>
    </w:p>
    <w:p w14:paraId="53859796" w14:textId="03C9FB38" w:rsidR="005F3025" w:rsidRPr="00D942D6" w:rsidRDefault="00CD64D8" w:rsidP="00EA304E">
      <w:pPr>
        <w:pStyle w:val="Reference"/>
      </w:pPr>
      <w:bookmarkStart w:id="30" w:name="_Ref473536085"/>
      <w:r w:rsidRPr="00D942D6">
        <w:t>R2-</w:t>
      </w:r>
      <w:r w:rsidR="00D942D6" w:rsidRPr="00D942D6">
        <w:t>1700923</w:t>
      </w:r>
      <w:r w:rsidR="00D942D6">
        <w:t>, “</w:t>
      </w:r>
      <w:proofErr w:type="spellStart"/>
      <w:r w:rsidRPr="00D942D6">
        <w:t>SeNB</w:t>
      </w:r>
      <w:proofErr w:type="spellEnd"/>
      <w:r w:rsidRPr="00D942D6">
        <w:t xml:space="preserve"> to </w:t>
      </w:r>
      <w:proofErr w:type="spellStart"/>
      <w:r w:rsidRPr="00D942D6">
        <w:t>MeNB</w:t>
      </w:r>
      <w:proofErr w:type="spellEnd"/>
      <w:r w:rsidRPr="00D942D6">
        <w:t xml:space="preserve"> reconfiguration for NR dual connectivity</w:t>
      </w:r>
      <w:r w:rsidR="00D942D6">
        <w:t>”</w:t>
      </w:r>
      <w:r w:rsidRPr="00D942D6">
        <w:t>, Ericsson</w:t>
      </w:r>
      <w:bookmarkEnd w:id="30"/>
      <w:r w:rsidR="00EA304E">
        <w:t xml:space="preserve">, </w:t>
      </w:r>
      <w:r w:rsidR="00EA304E" w:rsidRPr="00583BD9">
        <w:t xml:space="preserve">RAN2#97, February </w:t>
      </w:r>
      <w:r w:rsidR="00EA304E" w:rsidRPr="00583BD9">
        <w:rPr>
          <w:lang w:val="en-US"/>
        </w:rPr>
        <w:t>13</w:t>
      </w:r>
      <w:r w:rsidR="00EA304E" w:rsidRPr="00583BD9">
        <w:rPr>
          <w:vertAlign w:val="superscript"/>
          <w:lang w:val="en-US"/>
        </w:rPr>
        <w:t>th</w:t>
      </w:r>
      <w:r w:rsidR="00EA304E" w:rsidRPr="00583BD9">
        <w:rPr>
          <w:lang w:val="en-US"/>
        </w:rPr>
        <w:t xml:space="preserve"> – 17</w:t>
      </w:r>
      <w:r w:rsidR="00EA304E" w:rsidRPr="00583BD9">
        <w:rPr>
          <w:vertAlign w:val="superscript"/>
          <w:lang w:val="en-US"/>
        </w:rPr>
        <w:t>th</w:t>
      </w:r>
      <w:r w:rsidR="00EA304E" w:rsidRPr="00583BD9">
        <w:rPr>
          <w:lang w:val="en-US"/>
        </w:rPr>
        <w:t xml:space="preserve"> </w:t>
      </w:r>
      <w:r w:rsidR="000E7B4B">
        <w:t>2017.</w:t>
      </w:r>
      <w:bookmarkStart w:id="31" w:name="_GoBack"/>
      <w:bookmarkEnd w:id="31"/>
    </w:p>
    <w:bookmarkEnd w:id="28"/>
    <w:bookmarkEnd w:id="29"/>
    <w:p w14:paraId="471526A4" w14:textId="77777777" w:rsidR="003A7EF3" w:rsidRPr="00CD64D8" w:rsidRDefault="003A7EF3" w:rsidP="00CE0424">
      <w:pPr>
        <w:pStyle w:val="BodyText"/>
        <w:rPr>
          <w:lang w:val="en-US"/>
        </w:rPr>
      </w:pPr>
    </w:p>
    <w:sectPr w:rsidR="003A7EF3" w:rsidRPr="00CD64D8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F6F83" w14:textId="77777777" w:rsidR="00E75594" w:rsidRDefault="00E75594">
      <w:r>
        <w:separator/>
      </w:r>
    </w:p>
  </w:endnote>
  <w:endnote w:type="continuationSeparator" w:id="0">
    <w:p w14:paraId="63BA7FD3" w14:textId="77777777" w:rsidR="00E75594" w:rsidRDefault="00E75594">
      <w:r>
        <w:continuationSeparator/>
      </w:r>
    </w:p>
  </w:endnote>
  <w:endnote w:type="continuationNotice" w:id="1">
    <w:p w14:paraId="549DE78B" w14:textId="77777777" w:rsidR="00E75594" w:rsidRDefault="00E755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E85137" w14:textId="79C8D8C9" w:rsidR="00B55E70" w:rsidRDefault="00B55E7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A455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A455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12A960" w14:textId="77777777" w:rsidR="00E75594" w:rsidRDefault="00E75594">
      <w:r>
        <w:separator/>
      </w:r>
    </w:p>
  </w:footnote>
  <w:footnote w:type="continuationSeparator" w:id="0">
    <w:p w14:paraId="4B01DF6B" w14:textId="77777777" w:rsidR="00E75594" w:rsidRDefault="00E75594">
      <w:r>
        <w:continuationSeparator/>
      </w:r>
    </w:p>
  </w:footnote>
  <w:footnote w:type="continuationNotice" w:id="1">
    <w:p w14:paraId="685E057B" w14:textId="77777777" w:rsidR="00E75594" w:rsidRDefault="00E7559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F425B0" w14:textId="77777777" w:rsidR="00B55E70" w:rsidRDefault="00B55E7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085E52"/>
    <w:multiLevelType w:val="hybridMultilevel"/>
    <w:tmpl w:val="DD441B24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cs="Times New Roma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196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5FAA"/>
    <w:rsid w:val="00036BA1"/>
    <w:rsid w:val="000422E2"/>
    <w:rsid w:val="00042F22"/>
    <w:rsid w:val="000444EF"/>
    <w:rsid w:val="00052A07"/>
    <w:rsid w:val="000534E3"/>
    <w:rsid w:val="0005386D"/>
    <w:rsid w:val="00055BAB"/>
    <w:rsid w:val="0005606A"/>
    <w:rsid w:val="00057117"/>
    <w:rsid w:val="000616E7"/>
    <w:rsid w:val="000632FB"/>
    <w:rsid w:val="0006487E"/>
    <w:rsid w:val="00065E1A"/>
    <w:rsid w:val="0006754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020D"/>
    <w:rsid w:val="000B2719"/>
    <w:rsid w:val="000B3A8F"/>
    <w:rsid w:val="000B480F"/>
    <w:rsid w:val="000B4AB9"/>
    <w:rsid w:val="000B58C3"/>
    <w:rsid w:val="000B61E9"/>
    <w:rsid w:val="000C165A"/>
    <w:rsid w:val="000C2E19"/>
    <w:rsid w:val="000C4419"/>
    <w:rsid w:val="000D0D07"/>
    <w:rsid w:val="000D4797"/>
    <w:rsid w:val="000E0527"/>
    <w:rsid w:val="000E1E92"/>
    <w:rsid w:val="000E2A66"/>
    <w:rsid w:val="000E7B4B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A6E"/>
    <w:rsid w:val="00113C1B"/>
    <w:rsid w:val="00113CD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5B4B"/>
    <w:rsid w:val="00126B4A"/>
    <w:rsid w:val="00132FD0"/>
    <w:rsid w:val="001344C0"/>
    <w:rsid w:val="001346FA"/>
    <w:rsid w:val="00135252"/>
    <w:rsid w:val="00137AB5"/>
    <w:rsid w:val="00137F0B"/>
    <w:rsid w:val="00137F0E"/>
    <w:rsid w:val="00151E23"/>
    <w:rsid w:val="001526E0"/>
    <w:rsid w:val="001551B5"/>
    <w:rsid w:val="001643A8"/>
    <w:rsid w:val="001659C1"/>
    <w:rsid w:val="001661E9"/>
    <w:rsid w:val="00173A8E"/>
    <w:rsid w:val="00177795"/>
    <w:rsid w:val="00177E8F"/>
    <w:rsid w:val="00177EBE"/>
    <w:rsid w:val="0018143F"/>
    <w:rsid w:val="00183E2F"/>
    <w:rsid w:val="0018466C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3C9E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29C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1CEB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8D9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97D2E"/>
    <w:rsid w:val="002A055E"/>
    <w:rsid w:val="002A1D4E"/>
    <w:rsid w:val="002A2869"/>
    <w:rsid w:val="002A399E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30B2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3F4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5AD0"/>
    <w:rsid w:val="00357380"/>
    <w:rsid w:val="003602D9"/>
    <w:rsid w:val="003604CE"/>
    <w:rsid w:val="00370E47"/>
    <w:rsid w:val="003742AC"/>
    <w:rsid w:val="00377CE1"/>
    <w:rsid w:val="00385BF0"/>
    <w:rsid w:val="003939FF"/>
    <w:rsid w:val="003A127C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196"/>
    <w:rsid w:val="00421105"/>
    <w:rsid w:val="004242F4"/>
    <w:rsid w:val="00425F48"/>
    <w:rsid w:val="00427248"/>
    <w:rsid w:val="00430341"/>
    <w:rsid w:val="00437447"/>
    <w:rsid w:val="00440B16"/>
    <w:rsid w:val="00441A92"/>
    <w:rsid w:val="00444F56"/>
    <w:rsid w:val="00446488"/>
    <w:rsid w:val="004517AA"/>
    <w:rsid w:val="00451811"/>
    <w:rsid w:val="00452CAC"/>
    <w:rsid w:val="00453537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0725"/>
    <w:rsid w:val="004C159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729"/>
    <w:rsid w:val="004F2078"/>
    <w:rsid w:val="004F4DA3"/>
    <w:rsid w:val="004F7BF2"/>
    <w:rsid w:val="00502773"/>
    <w:rsid w:val="00506557"/>
    <w:rsid w:val="0050677A"/>
    <w:rsid w:val="005108D8"/>
    <w:rsid w:val="005116F9"/>
    <w:rsid w:val="005153A7"/>
    <w:rsid w:val="005219CF"/>
    <w:rsid w:val="00531534"/>
    <w:rsid w:val="005338D0"/>
    <w:rsid w:val="00534B59"/>
    <w:rsid w:val="00536759"/>
    <w:rsid w:val="00537C62"/>
    <w:rsid w:val="00546970"/>
    <w:rsid w:val="00554E19"/>
    <w:rsid w:val="00556C8B"/>
    <w:rsid w:val="0056121F"/>
    <w:rsid w:val="00571E9E"/>
    <w:rsid w:val="00572505"/>
    <w:rsid w:val="00580202"/>
    <w:rsid w:val="00582809"/>
    <w:rsid w:val="0058404C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E5F"/>
    <w:rsid w:val="005B6F83"/>
    <w:rsid w:val="005C74FB"/>
    <w:rsid w:val="005D1602"/>
    <w:rsid w:val="005D1EF2"/>
    <w:rsid w:val="005E385F"/>
    <w:rsid w:val="005E5B81"/>
    <w:rsid w:val="005E7E3D"/>
    <w:rsid w:val="005F2CB1"/>
    <w:rsid w:val="005F3025"/>
    <w:rsid w:val="005F4D03"/>
    <w:rsid w:val="005F618C"/>
    <w:rsid w:val="005F70BD"/>
    <w:rsid w:val="0060283C"/>
    <w:rsid w:val="00604F14"/>
    <w:rsid w:val="00605AD9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DDD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3C39"/>
    <w:rsid w:val="00695FC2"/>
    <w:rsid w:val="00696949"/>
    <w:rsid w:val="00697052"/>
    <w:rsid w:val="006A455C"/>
    <w:rsid w:val="006A46FB"/>
    <w:rsid w:val="006A5E28"/>
    <w:rsid w:val="006A697B"/>
    <w:rsid w:val="006A7152"/>
    <w:rsid w:val="006A7AFF"/>
    <w:rsid w:val="006B1816"/>
    <w:rsid w:val="006B2099"/>
    <w:rsid w:val="006B50CF"/>
    <w:rsid w:val="006C03B8"/>
    <w:rsid w:val="006C5EC9"/>
    <w:rsid w:val="006C6059"/>
    <w:rsid w:val="006C7522"/>
    <w:rsid w:val="006D52F1"/>
    <w:rsid w:val="006D559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6AF"/>
    <w:rsid w:val="007148D3"/>
    <w:rsid w:val="00715B9A"/>
    <w:rsid w:val="0071746C"/>
    <w:rsid w:val="00721593"/>
    <w:rsid w:val="00726EA6"/>
    <w:rsid w:val="00727208"/>
    <w:rsid w:val="00727680"/>
    <w:rsid w:val="00732030"/>
    <w:rsid w:val="007348B1"/>
    <w:rsid w:val="00734B23"/>
    <w:rsid w:val="007362A6"/>
    <w:rsid w:val="00736D7D"/>
    <w:rsid w:val="00740E58"/>
    <w:rsid w:val="00743BFE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5802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C07"/>
    <w:rsid w:val="00803FAE"/>
    <w:rsid w:val="008056BC"/>
    <w:rsid w:val="0080605F"/>
    <w:rsid w:val="00807786"/>
    <w:rsid w:val="008109F1"/>
    <w:rsid w:val="00811FCB"/>
    <w:rsid w:val="008127E7"/>
    <w:rsid w:val="008158D6"/>
    <w:rsid w:val="00817196"/>
    <w:rsid w:val="00817EDE"/>
    <w:rsid w:val="008235DB"/>
    <w:rsid w:val="00824AB4"/>
    <w:rsid w:val="00825C42"/>
    <w:rsid w:val="00825D25"/>
    <w:rsid w:val="00827D6F"/>
    <w:rsid w:val="00836A89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3A0A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3CF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7A6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0D3F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07855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3054"/>
    <w:rsid w:val="00A61499"/>
    <w:rsid w:val="00A62A77"/>
    <w:rsid w:val="00A63483"/>
    <w:rsid w:val="00A656BC"/>
    <w:rsid w:val="00A657D7"/>
    <w:rsid w:val="00A660AC"/>
    <w:rsid w:val="00A66A92"/>
    <w:rsid w:val="00A67E6C"/>
    <w:rsid w:val="00A71B99"/>
    <w:rsid w:val="00A739D0"/>
    <w:rsid w:val="00A761D4"/>
    <w:rsid w:val="00A77EC4"/>
    <w:rsid w:val="00A8011C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5D9D"/>
    <w:rsid w:val="00B167F1"/>
    <w:rsid w:val="00B20256"/>
    <w:rsid w:val="00B20D09"/>
    <w:rsid w:val="00B2763F"/>
    <w:rsid w:val="00B27AAC"/>
    <w:rsid w:val="00B30929"/>
    <w:rsid w:val="00B34D97"/>
    <w:rsid w:val="00B372AA"/>
    <w:rsid w:val="00B40445"/>
    <w:rsid w:val="00B41888"/>
    <w:rsid w:val="00B42BDB"/>
    <w:rsid w:val="00B442F3"/>
    <w:rsid w:val="00B45A52"/>
    <w:rsid w:val="00B46175"/>
    <w:rsid w:val="00B47652"/>
    <w:rsid w:val="00B55E70"/>
    <w:rsid w:val="00B62AAA"/>
    <w:rsid w:val="00B664C7"/>
    <w:rsid w:val="00B70CFF"/>
    <w:rsid w:val="00B739F6"/>
    <w:rsid w:val="00B81A6C"/>
    <w:rsid w:val="00B85DE5"/>
    <w:rsid w:val="00B90F73"/>
    <w:rsid w:val="00B9206A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6B49"/>
    <w:rsid w:val="00BE7406"/>
    <w:rsid w:val="00BE7603"/>
    <w:rsid w:val="00BF3279"/>
    <w:rsid w:val="00BF4BB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1D01"/>
    <w:rsid w:val="00C3284C"/>
    <w:rsid w:val="00C3719D"/>
    <w:rsid w:val="00C45954"/>
    <w:rsid w:val="00C54995"/>
    <w:rsid w:val="00C54D41"/>
    <w:rsid w:val="00C60783"/>
    <w:rsid w:val="00C60806"/>
    <w:rsid w:val="00C64672"/>
    <w:rsid w:val="00C70697"/>
    <w:rsid w:val="00C72EF4"/>
    <w:rsid w:val="00C75D2F"/>
    <w:rsid w:val="00C767BE"/>
    <w:rsid w:val="00C76963"/>
    <w:rsid w:val="00C76E3C"/>
    <w:rsid w:val="00C81568"/>
    <w:rsid w:val="00C82EEF"/>
    <w:rsid w:val="00C9027A"/>
    <w:rsid w:val="00C9068E"/>
    <w:rsid w:val="00C92227"/>
    <w:rsid w:val="00C93C4B"/>
    <w:rsid w:val="00C944AB"/>
    <w:rsid w:val="00C95B40"/>
    <w:rsid w:val="00CA1ED8"/>
    <w:rsid w:val="00CA3B3D"/>
    <w:rsid w:val="00CB1F63"/>
    <w:rsid w:val="00CB6A44"/>
    <w:rsid w:val="00CB7170"/>
    <w:rsid w:val="00CC040E"/>
    <w:rsid w:val="00CC111F"/>
    <w:rsid w:val="00CC2011"/>
    <w:rsid w:val="00CC3EA0"/>
    <w:rsid w:val="00CC7B45"/>
    <w:rsid w:val="00CD1188"/>
    <w:rsid w:val="00CD2ED1"/>
    <w:rsid w:val="00CD3173"/>
    <w:rsid w:val="00CD337B"/>
    <w:rsid w:val="00CD64D8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4EA6"/>
    <w:rsid w:val="00D55AD5"/>
    <w:rsid w:val="00D576CA"/>
    <w:rsid w:val="00D60E13"/>
    <w:rsid w:val="00D61AF5"/>
    <w:rsid w:val="00D62CD5"/>
    <w:rsid w:val="00D6435F"/>
    <w:rsid w:val="00D652B5"/>
    <w:rsid w:val="00D66155"/>
    <w:rsid w:val="00D666B8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942D6"/>
    <w:rsid w:val="00DA305E"/>
    <w:rsid w:val="00DA5007"/>
    <w:rsid w:val="00DA5417"/>
    <w:rsid w:val="00DA56E8"/>
    <w:rsid w:val="00DB0A9F"/>
    <w:rsid w:val="00DB377D"/>
    <w:rsid w:val="00DC2D36"/>
    <w:rsid w:val="00DC403E"/>
    <w:rsid w:val="00DC53EF"/>
    <w:rsid w:val="00DD0FAB"/>
    <w:rsid w:val="00DD2AD9"/>
    <w:rsid w:val="00DE5608"/>
    <w:rsid w:val="00DE58D0"/>
    <w:rsid w:val="00DE654F"/>
    <w:rsid w:val="00DF0B6E"/>
    <w:rsid w:val="00DF15E0"/>
    <w:rsid w:val="00DF37A0"/>
    <w:rsid w:val="00DF5C56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594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304E"/>
    <w:rsid w:val="00EA7A41"/>
    <w:rsid w:val="00EB077B"/>
    <w:rsid w:val="00EB4EA2"/>
    <w:rsid w:val="00EB6D63"/>
    <w:rsid w:val="00EC27C6"/>
    <w:rsid w:val="00EC4207"/>
    <w:rsid w:val="00EC5653"/>
    <w:rsid w:val="00EC60B5"/>
    <w:rsid w:val="00EC71CE"/>
    <w:rsid w:val="00ED1006"/>
    <w:rsid w:val="00EE2E1E"/>
    <w:rsid w:val="00EE44E0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241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A69"/>
    <w:rsid w:val="00FA2BB3"/>
    <w:rsid w:val="00FB4C80"/>
    <w:rsid w:val="00FB6A6A"/>
    <w:rsid w:val="00FC4AD0"/>
    <w:rsid w:val="00FC7429"/>
    <w:rsid w:val="00FD0347"/>
    <w:rsid w:val="00FD07F6"/>
    <w:rsid w:val="00FD1EC8"/>
    <w:rsid w:val="00FD3FB3"/>
    <w:rsid w:val="00FD47ED"/>
    <w:rsid w:val="00FD74DB"/>
    <w:rsid w:val="00FD7660"/>
    <w:rsid w:val="00FE0655"/>
    <w:rsid w:val="00FE2365"/>
    <w:rsid w:val="00FE431F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04A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D6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EB6D6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EB6D6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EB6D6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EB6D6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EB6D6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B6D6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B6D6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B6D6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B6D6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B6D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6D63"/>
  </w:style>
  <w:style w:type="paragraph" w:styleId="TOC8">
    <w:name w:val="toc 8"/>
    <w:basedOn w:val="TOC1"/>
    <w:semiHidden/>
    <w:rsid w:val="00EB6D6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B6D6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EB6D6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B6D6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B6D6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B6D63"/>
    <w:pPr>
      <w:ind w:left="1418" w:hanging="1418"/>
    </w:pPr>
  </w:style>
  <w:style w:type="paragraph" w:styleId="TOC3">
    <w:name w:val="toc 3"/>
    <w:basedOn w:val="TOC2"/>
    <w:semiHidden/>
    <w:rsid w:val="00EB6D63"/>
    <w:pPr>
      <w:ind w:left="1134" w:hanging="1134"/>
    </w:pPr>
  </w:style>
  <w:style w:type="paragraph" w:styleId="TOC2">
    <w:name w:val="toc 2"/>
    <w:basedOn w:val="TOC1"/>
    <w:semiHidden/>
    <w:rsid w:val="00EB6D6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B6D63"/>
    <w:pPr>
      <w:ind w:left="284"/>
    </w:pPr>
  </w:style>
  <w:style w:type="paragraph" w:styleId="Index1">
    <w:name w:val="index 1"/>
    <w:basedOn w:val="Normal"/>
    <w:semiHidden/>
    <w:rsid w:val="00EB6D63"/>
    <w:pPr>
      <w:keepLines/>
      <w:spacing w:after="0"/>
    </w:pPr>
  </w:style>
  <w:style w:type="paragraph" w:styleId="DocumentMap">
    <w:name w:val="Document Map"/>
    <w:basedOn w:val="Normal"/>
    <w:semiHidden/>
    <w:rsid w:val="00EB6D6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B6D63"/>
    <w:pPr>
      <w:ind w:left="851"/>
    </w:pPr>
  </w:style>
  <w:style w:type="paragraph" w:styleId="ListNumber">
    <w:name w:val="List Number"/>
    <w:basedOn w:val="List"/>
    <w:rsid w:val="00EB6D63"/>
  </w:style>
  <w:style w:type="paragraph" w:styleId="List">
    <w:name w:val="List"/>
    <w:basedOn w:val="Normal"/>
    <w:rsid w:val="00EB6D63"/>
    <w:pPr>
      <w:ind w:left="568" w:hanging="284"/>
    </w:pPr>
  </w:style>
  <w:style w:type="paragraph" w:styleId="Header">
    <w:name w:val="header"/>
    <w:rsid w:val="00EB6D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EB6D6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B6D6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EB6D6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EB6D63"/>
    <w:pPr>
      <w:ind w:left="1418" w:hanging="1418"/>
    </w:pPr>
  </w:style>
  <w:style w:type="paragraph" w:styleId="TOC6">
    <w:name w:val="toc 6"/>
    <w:basedOn w:val="TOC5"/>
    <w:next w:val="Normal"/>
    <w:semiHidden/>
    <w:rsid w:val="00EB6D63"/>
    <w:pPr>
      <w:ind w:left="1985" w:hanging="1985"/>
    </w:pPr>
  </w:style>
  <w:style w:type="paragraph" w:styleId="TOC7">
    <w:name w:val="toc 7"/>
    <w:basedOn w:val="TOC6"/>
    <w:next w:val="Normal"/>
    <w:semiHidden/>
    <w:rsid w:val="00EB6D63"/>
    <w:pPr>
      <w:ind w:left="2268" w:hanging="2268"/>
    </w:pPr>
  </w:style>
  <w:style w:type="paragraph" w:styleId="ListBullet2">
    <w:name w:val="List Bullet 2"/>
    <w:basedOn w:val="ListBullet"/>
    <w:rsid w:val="00EB6D63"/>
    <w:pPr>
      <w:numPr>
        <w:numId w:val="6"/>
      </w:numPr>
    </w:pPr>
  </w:style>
  <w:style w:type="paragraph" w:styleId="ListBullet">
    <w:name w:val="List Bullet"/>
    <w:basedOn w:val="BodyText"/>
    <w:rsid w:val="00EB6D63"/>
    <w:pPr>
      <w:numPr>
        <w:numId w:val="5"/>
      </w:numPr>
    </w:pPr>
  </w:style>
  <w:style w:type="paragraph" w:styleId="ListBullet3">
    <w:name w:val="List Bullet 3"/>
    <w:basedOn w:val="ListBullet2"/>
    <w:rsid w:val="00EB6D63"/>
    <w:pPr>
      <w:numPr>
        <w:numId w:val="7"/>
      </w:numPr>
    </w:pPr>
  </w:style>
  <w:style w:type="paragraph" w:customStyle="1" w:styleId="EQ">
    <w:name w:val="EQ"/>
    <w:basedOn w:val="Normal"/>
    <w:next w:val="Normal"/>
    <w:rsid w:val="00EB6D6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B6D63"/>
    <w:pPr>
      <w:ind w:left="851"/>
    </w:pPr>
  </w:style>
  <w:style w:type="paragraph" w:styleId="List3">
    <w:name w:val="List 3"/>
    <w:basedOn w:val="List2"/>
    <w:rsid w:val="00EB6D63"/>
    <w:pPr>
      <w:ind w:left="1135"/>
    </w:pPr>
  </w:style>
  <w:style w:type="paragraph" w:styleId="List4">
    <w:name w:val="List 4"/>
    <w:basedOn w:val="List3"/>
    <w:rsid w:val="00EB6D63"/>
    <w:pPr>
      <w:ind w:left="1418"/>
    </w:pPr>
  </w:style>
  <w:style w:type="paragraph" w:styleId="List5">
    <w:name w:val="List 5"/>
    <w:basedOn w:val="List4"/>
    <w:rsid w:val="00EB6D63"/>
    <w:pPr>
      <w:ind w:left="1702"/>
    </w:pPr>
  </w:style>
  <w:style w:type="paragraph" w:customStyle="1" w:styleId="EditorsNote">
    <w:name w:val="Editor's Note"/>
    <w:basedOn w:val="Normal"/>
    <w:rsid w:val="00EB6D6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B6D63"/>
    <w:pPr>
      <w:numPr>
        <w:numId w:val="8"/>
      </w:numPr>
    </w:pPr>
  </w:style>
  <w:style w:type="paragraph" w:styleId="ListBullet5">
    <w:name w:val="List Bullet 5"/>
    <w:basedOn w:val="ListBullet4"/>
    <w:rsid w:val="00EB6D63"/>
    <w:pPr>
      <w:numPr>
        <w:numId w:val="4"/>
      </w:numPr>
    </w:pPr>
  </w:style>
  <w:style w:type="paragraph" w:styleId="Footer">
    <w:name w:val="footer"/>
    <w:basedOn w:val="Header"/>
    <w:semiHidden/>
    <w:rsid w:val="00EB6D6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EB6D63"/>
    <w:pPr>
      <w:numPr>
        <w:numId w:val="2"/>
      </w:numPr>
    </w:pPr>
  </w:style>
  <w:style w:type="paragraph" w:styleId="BalloonText">
    <w:name w:val="Balloon Text"/>
    <w:basedOn w:val="Normal"/>
    <w:semiHidden/>
    <w:rsid w:val="00EB6D63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EB6D63"/>
  </w:style>
  <w:style w:type="paragraph" w:styleId="BodyText">
    <w:name w:val="Body Text"/>
    <w:basedOn w:val="Normal"/>
    <w:link w:val="BodyTextChar"/>
    <w:rsid w:val="00EB6D63"/>
  </w:style>
  <w:style w:type="character" w:styleId="Hyperlink">
    <w:name w:val="Hyperlink"/>
    <w:uiPriority w:val="99"/>
    <w:rsid w:val="00EB6D63"/>
    <w:rPr>
      <w:color w:val="0000FF"/>
      <w:u w:val="single"/>
      <w:lang w:val="en-GB"/>
    </w:rPr>
  </w:style>
  <w:style w:type="character" w:styleId="FollowedHyperlink">
    <w:name w:val="FollowedHyperlink"/>
    <w:semiHidden/>
    <w:rsid w:val="00EB6D63"/>
    <w:rPr>
      <w:color w:val="FF0000"/>
      <w:u w:val="single"/>
    </w:rPr>
  </w:style>
  <w:style w:type="character" w:styleId="CommentReference">
    <w:name w:val="annotation reference"/>
    <w:semiHidden/>
    <w:rsid w:val="00EB6D6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6D63"/>
  </w:style>
  <w:style w:type="paragraph" w:styleId="CommentSubject">
    <w:name w:val="annotation subject"/>
    <w:basedOn w:val="CommentText"/>
    <w:next w:val="CommentText"/>
    <w:semiHidden/>
    <w:rsid w:val="00EB6D63"/>
    <w:rPr>
      <w:b/>
      <w:bCs/>
    </w:rPr>
  </w:style>
  <w:style w:type="character" w:customStyle="1" w:styleId="Heading1Char">
    <w:name w:val="Heading 1 Char"/>
    <w:link w:val="Heading1"/>
    <w:rsid w:val="00EB6D63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EB6D6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B6D6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B6D6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B6D6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EB6D6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B6D63"/>
    <w:rPr>
      <w:rFonts w:ascii="Arial" w:hAnsi="Arial"/>
      <w:lang w:val="en-GB"/>
    </w:rPr>
  </w:style>
  <w:style w:type="paragraph" w:customStyle="1" w:styleId="B5">
    <w:name w:val="B5"/>
    <w:basedOn w:val="List5"/>
    <w:rsid w:val="00EB6D6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B6D6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B6D63"/>
    <w:pPr>
      <w:spacing w:after="0"/>
    </w:pPr>
  </w:style>
  <w:style w:type="paragraph" w:customStyle="1" w:styleId="TAL">
    <w:name w:val="TAL"/>
    <w:basedOn w:val="Normal"/>
    <w:rsid w:val="00EB6D6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B6D63"/>
    <w:pPr>
      <w:jc w:val="center"/>
    </w:pPr>
  </w:style>
  <w:style w:type="paragraph" w:customStyle="1" w:styleId="TAH">
    <w:name w:val="TAH"/>
    <w:basedOn w:val="TAC"/>
    <w:rsid w:val="00EB6D63"/>
    <w:rPr>
      <w:b/>
    </w:rPr>
  </w:style>
  <w:style w:type="paragraph" w:customStyle="1" w:styleId="TAN">
    <w:name w:val="TAN"/>
    <w:basedOn w:val="TAL"/>
    <w:rsid w:val="00EB6D63"/>
    <w:pPr>
      <w:ind w:left="851" w:hanging="851"/>
    </w:pPr>
  </w:style>
  <w:style w:type="paragraph" w:customStyle="1" w:styleId="TAR">
    <w:name w:val="TAR"/>
    <w:basedOn w:val="TAL"/>
    <w:rsid w:val="00EB6D63"/>
    <w:pPr>
      <w:jc w:val="right"/>
    </w:pPr>
  </w:style>
  <w:style w:type="paragraph" w:customStyle="1" w:styleId="TH">
    <w:name w:val="TH"/>
    <w:basedOn w:val="Normal"/>
    <w:rsid w:val="00EB6D6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B6D6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B6D6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B6D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6D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6D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EB6D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EB6D63"/>
  </w:style>
  <w:style w:type="paragraph" w:customStyle="1" w:styleId="ZH">
    <w:name w:val="ZH"/>
    <w:rsid w:val="00EB6D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EB6D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EB6D6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B6D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6D63"/>
    <w:pPr>
      <w:framePr w:wrap="notBeside" w:y="16161"/>
    </w:pPr>
  </w:style>
  <w:style w:type="paragraph" w:customStyle="1" w:styleId="FP">
    <w:name w:val="FP"/>
    <w:basedOn w:val="Normal"/>
    <w:rsid w:val="00EB6D6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B6D6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B6D63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B6D63"/>
    <w:pPr>
      <w:spacing w:after="120"/>
    </w:pPr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0C44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59" w:lineRule="auto"/>
      <w:jc w:val="left"/>
      <w:textAlignment w:val="auto"/>
    </w:pPr>
    <w:rPr>
      <w:rFonts w:asciiTheme="minorHAnsi" w:hAnsiTheme="minorHAnsi"/>
      <w:spacing w:val="2"/>
      <w:sz w:val="22"/>
      <w:szCs w:val="22"/>
      <w:lang w:eastAsia="en-US"/>
    </w:rPr>
  </w:style>
  <w:style w:type="character" w:customStyle="1" w:styleId="IvDbodytextChar">
    <w:name w:val="IvD bodytext Char"/>
    <w:basedOn w:val="BodyTextChar"/>
    <w:link w:val="IvDbodytext"/>
    <w:locked/>
    <w:rsid w:val="000C4419"/>
    <w:rPr>
      <w:rFonts w:asciiTheme="minorHAnsi" w:hAnsiTheme="minorHAnsi"/>
      <w:spacing w:val="2"/>
      <w:sz w:val="22"/>
      <w:szCs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53537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8127E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127E7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113C1B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D942D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942D6"/>
    <w:rPr>
      <w:rFonts w:ascii="Arial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D6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EB6D6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EB6D6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EB6D6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EB6D6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EB6D6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B6D6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B6D6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B6D6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B6D6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B6D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6D63"/>
  </w:style>
  <w:style w:type="paragraph" w:styleId="TOC8">
    <w:name w:val="toc 8"/>
    <w:basedOn w:val="TOC1"/>
    <w:semiHidden/>
    <w:rsid w:val="00EB6D6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B6D6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EB6D6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B6D6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B6D6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B6D63"/>
    <w:pPr>
      <w:ind w:left="1418" w:hanging="1418"/>
    </w:pPr>
  </w:style>
  <w:style w:type="paragraph" w:styleId="TOC3">
    <w:name w:val="toc 3"/>
    <w:basedOn w:val="TOC2"/>
    <w:semiHidden/>
    <w:rsid w:val="00EB6D63"/>
    <w:pPr>
      <w:ind w:left="1134" w:hanging="1134"/>
    </w:pPr>
  </w:style>
  <w:style w:type="paragraph" w:styleId="TOC2">
    <w:name w:val="toc 2"/>
    <w:basedOn w:val="TOC1"/>
    <w:semiHidden/>
    <w:rsid w:val="00EB6D6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B6D63"/>
    <w:pPr>
      <w:ind w:left="284"/>
    </w:pPr>
  </w:style>
  <w:style w:type="paragraph" w:styleId="Index1">
    <w:name w:val="index 1"/>
    <w:basedOn w:val="Normal"/>
    <w:semiHidden/>
    <w:rsid w:val="00EB6D63"/>
    <w:pPr>
      <w:keepLines/>
      <w:spacing w:after="0"/>
    </w:pPr>
  </w:style>
  <w:style w:type="paragraph" w:styleId="DocumentMap">
    <w:name w:val="Document Map"/>
    <w:basedOn w:val="Normal"/>
    <w:semiHidden/>
    <w:rsid w:val="00EB6D6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B6D63"/>
    <w:pPr>
      <w:ind w:left="851"/>
    </w:pPr>
  </w:style>
  <w:style w:type="paragraph" w:styleId="ListNumber">
    <w:name w:val="List Number"/>
    <w:basedOn w:val="List"/>
    <w:rsid w:val="00EB6D63"/>
  </w:style>
  <w:style w:type="paragraph" w:styleId="List">
    <w:name w:val="List"/>
    <w:basedOn w:val="Normal"/>
    <w:rsid w:val="00EB6D63"/>
    <w:pPr>
      <w:ind w:left="568" w:hanging="284"/>
    </w:pPr>
  </w:style>
  <w:style w:type="paragraph" w:styleId="Header">
    <w:name w:val="header"/>
    <w:rsid w:val="00EB6D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EB6D6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B6D6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EB6D6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EB6D63"/>
    <w:pPr>
      <w:ind w:left="1418" w:hanging="1418"/>
    </w:pPr>
  </w:style>
  <w:style w:type="paragraph" w:styleId="TOC6">
    <w:name w:val="toc 6"/>
    <w:basedOn w:val="TOC5"/>
    <w:next w:val="Normal"/>
    <w:semiHidden/>
    <w:rsid w:val="00EB6D63"/>
    <w:pPr>
      <w:ind w:left="1985" w:hanging="1985"/>
    </w:pPr>
  </w:style>
  <w:style w:type="paragraph" w:styleId="TOC7">
    <w:name w:val="toc 7"/>
    <w:basedOn w:val="TOC6"/>
    <w:next w:val="Normal"/>
    <w:semiHidden/>
    <w:rsid w:val="00EB6D63"/>
    <w:pPr>
      <w:ind w:left="2268" w:hanging="2268"/>
    </w:pPr>
  </w:style>
  <w:style w:type="paragraph" w:styleId="ListBullet2">
    <w:name w:val="List Bullet 2"/>
    <w:basedOn w:val="ListBullet"/>
    <w:rsid w:val="00EB6D63"/>
    <w:pPr>
      <w:numPr>
        <w:numId w:val="6"/>
      </w:numPr>
    </w:pPr>
  </w:style>
  <w:style w:type="paragraph" w:styleId="ListBullet">
    <w:name w:val="List Bullet"/>
    <w:basedOn w:val="BodyText"/>
    <w:rsid w:val="00EB6D63"/>
    <w:pPr>
      <w:numPr>
        <w:numId w:val="5"/>
      </w:numPr>
    </w:pPr>
  </w:style>
  <w:style w:type="paragraph" w:styleId="ListBullet3">
    <w:name w:val="List Bullet 3"/>
    <w:basedOn w:val="ListBullet2"/>
    <w:rsid w:val="00EB6D63"/>
    <w:pPr>
      <w:numPr>
        <w:numId w:val="7"/>
      </w:numPr>
    </w:pPr>
  </w:style>
  <w:style w:type="paragraph" w:customStyle="1" w:styleId="EQ">
    <w:name w:val="EQ"/>
    <w:basedOn w:val="Normal"/>
    <w:next w:val="Normal"/>
    <w:rsid w:val="00EB6D6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B6D63"/>
    <w:pPr>
      <w:ind w:left="851"/>
    </w:pPr>
  </w:style>
  <w:style w:type="paragraph" w:styleId="List3">
    <w:name w:val="List 3"/>
    <w:basedOn w:val="List2"/>
    <w:rsid w:val="00EB6D63"/>
    <w:pPr>
      <w:ind w:left="1135"/>
    </w:pPr>
  </w:style>
  <w:style w:type="paragraph" w:styleId="List4">
    <w:name w:val="List 4"/>
    <w:basedOn w:val="List3"/>
    <w:rsid w:val="00EB6D63"/>
    <w:pPr>
      <w:ind w:left="1418"/>
    </w:pPr>
  </w:style>
  <w:style w:type="paragraph" w:styleId="List5">
    <w:name w:val="List 5"/>
    <w:basedOn w:val="List4"/>
    <w:rsid w:val="00EB6D63"/>
    <w:pPr>
      <w:ind w:left="1702"/>
    </w:pPr>
  </w:style>
  <w:style w:type="paragraph" w:customStyle="1" w:styleId="EditorsNote">
    <w:name w:val="Editor's Note"/>
    <w:basedOn w:val="Normal"/>
    <w:rsid w:val="00EB6D6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B6D63"/>
    <w:pPr>
      <w:numPr>
        <w:numId w:val="8"/>
      </w:numPr>
    </w:pPr>
  </w:style>
  <w:style w:type="paragraph" w:styleId="ListBullet5">
    <w:name w:val="List Bullet 5"/>
    <w:basedOn w:val="ListBullet4"/>
    <w:rsid w:val="00EB6D63"/>
    <w:pPr>
      <w:numPr>
        <w:numId w:val="4"/>
      </w:numPr>
    </w:pPr>
  </w:style>
  <w:style w:type="paragraph" w:styleId="Footer">
    <w:name w:val="footer"/>
    <w:basedOn w:val="Header"/>
    <w:semiHidden/>
    <w:rsid w:val="00EB6D6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EB6D63"/>
    <w:pPr>
      <w:numPr>
        <w:numId w:val="2"/>
      </w:numPr>
    </w:pPr>
  </w:style>
  <w:style w:type="paragraph" w:styleId="BalloonText">
    <w:name w:val="Balloon Text"/>
    <w:basedOn w:val="Normal"/>
    <w:semiHidden/>
    <w:rsid w:val="00EB6D63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EB6D63"/>
  </w:style>
  <w:style w:type="paragraph" w:styleId="BodyText">
    <w:name w:val="Body Text"/>
    <w:basedOn w:val="Normal"/>
    <w:link w:val="BodyTextChar"/>
    <w:rsid w:val="00EB6D63"/>
  </w:style>
  <w:style w:type="character" w:styleId="Hyperlink">
    <w:name w:val="Hyperlink"/>
    <w:uiPriority w:val="99"/>
    <w:rsid w:val="00EB6D63"/>
    <w:rPr>
      <w:color w:val="0000FF"/>
      <w:u w:val="single"/>
      <w:lang w:val="en-GB"/>
    </w:rPr>
  </w:style>
  <w:style w:type="character" w:styleId="FollowedHyperlink">
    <w:name w:val="FollowedHyperlink"/>
    <w:semiHidden/>
    <w:rsid w:val="00EB6D63"/>
    <w:rPr>
      <w:color w:val="FF0000"/>
      <w:u w:val="single"/>
    </w:rPr>
  </w:style>
  <w:style w:type="character" w:styleId="CommentReference">
    <w:name w:val="annotation reference"/>
    <w:semiHidden/>
    <w:rsid w:val="00EB6D6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6D63"/>
  </w:style>
  <w:style w:type="paragraph" w:styleId="CommentSubject">
    <w:name w:val="annotation subject"/>
    <w:basedOn w:val="CommentText"/>
    <w:next w:val="CommentText"/>
    <w:semiHidden/>
    <w:rsid w:val="00EB6D63"/>
    <w:rPr>
      <w:b/>
      <w:bCs/>
    </w:rPr>
  </w:style>
  <w:style w:type="character" w:customStyle="1" w:styleId="Heading1Char">
    <w:name w:val="Heading 1 Char"/>
    <w:link w:val="Heading1"/>
    <w:rsid w:val="00EB6D63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EB6D6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B6D6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B6D6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B6D6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EB6D6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B6D63"/>
    <w:rPr>
      <w:rFonts w:ascii="Arial" w:hAnsi="Arial"/>
      <w:lang w:val="en-GB"/>
    </w:rPr>
  </w:style>
  <w:style w:type="paragraph" w:customStyle="1" w:styleId="B5">
    <w:name w:val="B5"/>
    <w:basedOn w:val="List5"/>
    <w:rsid w:val="00EB6D6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B6D6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B6D63"/>
    <w:pPr>
      <w:spacing w:after="0"/>
    </w:pPr>
  </w:style>
  <w:style w:type="paragraph" w:customStyle="1" w:styleId="TAL">
    <w:name w:val="TAL"/>
    <w:basedOn w:val="Normal"/>
    <w:rsid w:val="00EB6D6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B6D63"/>
    <w:pPr>
      <w:jc w:val="center"/>
    </w:pPr>
  </w:style>
  <w:style w:type="paragraph" w:customStyle="1" w:styleId="TAH">
    <w:name w:val="TAH"/>
    <w:basedOn w:val="TAC"/>
    <w:rsid w:val="00EB6D63"/>
    <w:rPr>
      <w:b/>
    </w:rPr>
  </w:style>
  <w:style w:type="paragraph" w:customStyle="1" w:styleId="TAN">
    <w:name w:val="TAN"/>
    <w:basedOn w:val="TAL"/>
    <w:rsid w:val="00EB6D63"/>
    <w:pPr>
      <w:ind w:left="851" w:hanging="851"/>
    </w:pPr>
  </w:style>
  <w:style w:type="paragraph" w:customStyle="1" w:styleId="TAR">
    <w:name w:val="TAR"/>
    <w:basedOn w:val="TAL"/>
    <w:rsid w:val="00EB6D63"/>
    <w:pPr>
      <w:jc w:val="right"/>
    </w:pPr>
  </w:style>
  <w:style w:type="paragraph" w:customStyle="1" w:styleId="TH">
    <w:name w:val="TH"/>
    <w:basedOn w:val="Normal"/>
    <w:rsid w:val="00EB6D6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B6D6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B6D6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B6D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6D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6D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EB6D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EB6D63"/>
  </w:style>
  <w:style w:type="paragraph" w:customStyle="1" w:styleId="ZH">
    <w:name w:val="ZH"/>
    <w:rsid w:val="00EB6D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EB6D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EB6D6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B6D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6D63"/>
    <w:pPr>
      <w:framePr w:wrap="notBeside" w:y="16161"/>
    </w:pPr>
  </w:style>
  <w:style w:type="paragraph" w:customStyle="1" w:styleId="FP">
    <w:name w:val="FP"/>
    <w:basedOn w:val="Normal"/>
    <w:rsid w:val="00EB6D6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B6D6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B6D63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B6D63"/>
    <w:pPr>
      <w:spacing w:after="120"/>
    </w:pPr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0C44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59" w:lineRule="auto"/>
      <w:jc w:val="left"/>
      <w:textAlignment w:val="auto"/>
    </w:pPr>
    <w:rPr>
      <w:rFonts w:asciiTheme="minorHAnsi" w:hAnsiTheme="minorHAnsi"/>
      <w:spacing w:val="2"/>
      <w:sz w:val="22"/>
      <w:szCs w:val="22"/>
      <w:lang w:eastAsia="en-US"/>
    </w:rPr>
  </w:style>
  <w:style w:type="character" w:customStyle="1" w:styleId="IvDbodytextChar">
    <w:name w:val="IvD bodytext Char"/>
    <w:basedOn w:val="BodyTextChar"/>
    <w:link w:val="IvDbodytext"/>
    <w:locked/>
    <w:rsid w:val="000C4419"/>
    <w:rPr>
      <w:rFonts w:asciiTheme="minorHAnsi" w:hAnsiTheme="minorHAnsi"/>
      <w:spacing w:val="2"/>
      <w:sz w:val="22"/>
      <w:szCs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53537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8127E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127E7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113C1B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D942D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942D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oll.internal.ericsson.com/sites/NSA/Documents/Activities/2017/001%20RAN2-97%20Athens/Ericsson%20Contributions/R2-17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_dlc_DocId xmlns="08b2df90-05d3-4030-90d4-c9feeb4a1cd9">SAQRZK7RPU5V-1-16422</_dlc_DocId>
    <TaxCatchAll xmlns="08b2df90-05d3-4030-90d4-c9feeb4a1cd9">
      <Value>32</Value>
      <Value>31</Value>
      <Value>30</Value>
      <Value>2</Value>
      <Value>1</Value>
    </TaxCatchAll>
    <_dlc_DocIdUrl xmlns="08b2df90-05d3-4030-90d4-c9feeb4a1cd9">
      <Url>https://ericoll.internal.ericsson.com/sites/NSA/_layouts/DocIdRedir.aspx?ID=SAQRZK7RPU5V-1-16422</Url>
      <Description>SAQRZK7RPU5V-1-16422</Description>
    </_dlc_DocIdUrl>
    <Prepared. xmlns="d46971d8-f4ed-4cac-a977-cede52d8d47b" xsi:nil="true"/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08b2df90-05d3-4030-90d4-c9feeb4a1cd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9A47281-8703-40D2-9A40-5158A79FD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A2597A-BAE0-41BD-B246-639306437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R2-17xxxx%20-%20Contribution%20Template</Template>
  <TotalTime>0</TotalTime>
  <Pages>3</Pages>
  <Words>510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Patrik Rugeland</dc:creator>
  <cp:keywords>Ericsson; TDoc; 3GPP</cp:keywords>
  <cp:lastModifiedBy>Riikka Susitaival</cp:lastModifiedBy>
  <cp:revision>4</cp:revision>
  <cp:lastPrinted>2008-01-31T06:09:00Z</cp:lastPrinted>
  <dcterms:created xsi:type="dcterms:W3CDTF">2017-02-04T00:46:00Z</dcterms:created>
  <dcterms:modified xsi:type="dcterms:W3CDTF">2017-02-04T00:46:00Z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cf735a51-261e-45f7-ad5b-53594d4727ab</vt:lpwstr>
  </property>
  <property fmtid="{D5CDD505-2E9C-101B-9397-08002B2CF9AE}" pid="4" name="ContentTypeId">
    <vt:lpwstr>0x010100BB337192E63E44A7A744CE7393F41F4E0029755995905BD74495DD3B5564DEF260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32;#3GPP|6a3890dd-b3c6-4ee1-9283-043167dd414d;#31;#TDoc|b7cb4b2e-7c24-4f9d-967d-e29f765ecb8a;#30;#Ericsson|c60ff206-3dbb-4410-a86e-50fd188c386c</vt:lpwstr>
  </property>
  <property fmtid="{D5CDD505-2E9C-101B-9397-08002B2CF9AE}" pid="7" name="EriCOLLOrganizationUnit">
    <vt:lpwstr>2;#GFTE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